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ageBreakBefore w:val="0"/>
        <w:widowControl w:val="0"/>
        <w:tabs>
          <w:tab w:val="left" w:leader="none" w:pos="414"/>
        </w:tabs>
        <w:spacing w:after="0" w:before="91" w:line="240" w:lineRule="auto"/>
        <w:ind w:left="0" w:firstLine="0"/>
        <w:rPr>
          <w:rFonts w:ascii="Roboto" w:cs="Roboto" w:eastAsia="Roboto" w:hAnsi="Roboto"/>
          <w:b w:val="1"/>
          <w:bCs w:val="1"/>
          <w:sz w:val="26"/>
          <w:szCs w:val="26"/>
        </w:rPr>
      </w:pPr>
      <w:r w:rsidDel="00000000" w:rsidR="00000000" w:rsidRPr="00000000">
        <w:rPr>
          <w:rFonts w:ascii="Roboto" w:cs="Roboto" w:eastAsia="Roboto" w:hAnsi="Roboto"/>
          <w:b w:val="1"/>
          <w:bCs w:val="1"/>
          <w:sz w:val="26"/>
          <w:szCs w:val="26"/>
          <w:rtl w:val="0"/>
        </w:rPr>
        <w:t xml:space="preserve">Clause for ASP (Assured Periodic Tenancies) and/or Application Form</w:t>
      </w:r>
    </w:p>
    <w:p w:rsidR="00000000" w:rsidDel="00000000" w:rsidP="00000000" w:rsidRDefault="00000000" w:rsidRPr="00000000" w14:paraId="00000002">
      <w:pPr>
        <w:pageBreakBefore w:val="0"/>
        <w:widowControl w:val="0"/>
        <w:spacing w:before="5" w:line="240" w:lineRule="auto"/>
        <w:rPr>
          <w:rFonts w:ascii="Roboto" w:cs="Roboto" w:eastAsia="Roboto" w:hAnsi="Roboto"/>
          <w:b w:val="1"/>
          <w:bCs w:val="1"/>
          <w:sz w:val="29"/>
          <w:szCs w:val="29"/>
        </w:rPr>
      </w:pPr>
      <w:r w:rsidDel="00000000" w:rsidR="00000000" w:rsidRPr="00000000">
        <w:rPr>
          <w:rtl w:val="0"/>
        </w:rPr>
      </w:r>
    </w:p>
    <w:p w:rsidR="00000000" w:rsidDel="00000000" w:rsidP="00000000" w:rsidRDefault="00000000" w:rsidRPr="00000000" w14:paraId="00000003">
      <w:pPr>
        <w:pageBreakBefore w:val="0"/>
        <w:widowControl w:val="0"/>
        <w:numPr>
          <w:ilvl w:val="1"/>
          <w:numId w:val="3"/>
        </w:numPr>
        <w:tabs>
          <w:tab w:val="left" w:leader="none" w:pos="467"/>
        </w:tabs>
        <w:spacing w:line="285" w:lineRule="auto"/>
        <w:ind w:left="100" w:right="611"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Tenant agrees to the Disclosure of Tenant’s personal details to One Utility Bill Limited (“One Utility Bill or OUB”) , </w:t>
      </w: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and the incumbent Energy Supplier for the purposes of Utility Registration.</w:t>
      </w:r>
    </w:p>
    <w:p w:rsidR="00000000" w:rsidDel="00000000" w:rsidP="00000000" w:rsidRDefault="00000000" w:rsidRPr="00000000" w14:paraId="00000004">
      <w:pPr>
        <w:pageBreakBefore w:val="0"/>
        <w:widowControl w:val="0"/>
        <w:spacing w:before="1"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5">
      <w:pPr>
        <w:pageBreakBefore w:val="0"/>
        <w:widowControl w:val="0"/>
        <w:numPr>
          <w:ilvl w:val="1"/>
          <w:numId w:val="3"/>
        </w:numPr>
        <w:tabs>
          <w:tab w:val="left" w:leader="none" w:pos="468"/>
        </w:tabs>
        <w:spacing w:line="283" w:lineRule="auto"/>
        <w:ind w:left="100" w:right="352"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At the start of the Tenancy, gas and electricity will be provided, or will be in the process of being provided by the incumbent Energy Supplier, the details of this supplier information will be communicated to the tenants by One Utility Bills customer service team via phone call and/or email. The tenants are not in a contract with their incumbent Energy Supplier and are free to choose any Energy Supplier option available to them.</w:t>
      </w:r>
    </w:p>
    <w:p w:rsidR="00000000" w:rsidDel="00000000" w:rsidP="00000000" w:rsidRDefault="00000000" w:rsidRPr="00000000" w14:paraId="00000006">
      <w:pPr>
        <w:pageBreakBefore w:val="0"/>
        <w:widowControl w:val="0"/>
        <w:spacing w:before="8"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7">
      <w:pPr>
        <w:pageBreakBefore w:val="0"/>
        <w:widowControl w:val="0"/>
        <w:numPr>
          <w:ilvl w:val="1"/>
          <w:numId w:val="3"/>
        </w:numPr>
        <w:tabs>
          <w:tab w:val="left" w:leader="none" w:pos="468"/>
        </w:tabs>
        <w:spacing w:before="1" w:line="285" w:lineRule="auto"/>
        <w:ind w:left="100" w:right="347"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Tenant agrees that</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may pass the Tenant’s name, phone number, email address, to One Utility Bill, for the purposes of;</w:t>
      </w:r>
    </w:p>
    <w:p w:rsidR="00000000" w:rsidDel="00000000" w:rsidP="00000000" w:rsidRDefault="00000000" w:rsidRPr="00000000" w14:paraId="00000008">
      <w:pPr>
        <w:pageBreakBefore w:val="0"/>
        <w:widowControl w:val="0"/>
        <w:spacing w:before="8"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9">
      <w:pPr>
        <w:pageBreakBefore w:val="0"/>
        <w:widowControl w:val="0"/>
        <w:numPr>
          <w:ilvl w:val="0"/>
          <w:numId w:val="1"/>
        </w:numPr>
        <w:tabs>
          <w:tab w:val="left" w:leader="none" w:pos="1067"/>
        </w:tabs>
        <w:spacing w:line="285" w:lineRule="auto"/>
        <w:ind w:left="820" w:right="375" w:firstLine="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registering the gas and electricity meters at the property in the Tenant’s name with the incumbent Energy Supplier providing gas and electricity to the Tenant and administering the Tenant’s account with the incumbent Energy Supplier if applicable;</w:t>
      </w:r>
    </w:p>
    <w:p w:rsidR="00000000" w:rsidDel="00000000" w:rsidP="00000000" w:rsidRDefault="00000000" w:rsidRPr="00000000" w14:paraId="0000000A">
      <w:pPr>
        <w:pageBreakBefore w:val="0"/>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B">
      <w:pPr>
        <w:pageBreakBefore w:val="0"/>
        <w:widowControl w:val="0"/>
        <w:numPr>
          <w:ilvl w:val="0"/>
          <w:numId w:val="1"/>
        </w:numPr>
        <w:tabs>
          <w:tab w:val="left" w:leader="none" w:pos="1078"/>
        </w:tabs>
        <w:spacing w:line="240" w:lineRule="auto"/>
        <w:ind w:left="1077" w:hanging="258"/>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registering the Tenant with the incumbent water supplier to the property.</w:t>
        <w:br w:type="textWrapping"/>
      </w:r>
    </w:p>
    <w:p w:rsidR="00000000" w:rsidDel="00000000" w:rsidP="00000000" w:rsidRDefault="00000000" w:rsidRPr="00000000" w14:paraId="0000000C">
      <w:pPr>
        <w:pageBreakBefore w:val="0"/>
        <w:widowControl w:val="0"/>
        <w:numPr>
          <w:ilvl w:val="0"/>
          <w:numId w:val="1"/>
        </w:numPr>
        <w:tabs>
          <w:tab w:val="left" w:leader="none" w:pos="1078"/>
        </w:tabs>
        <w:spacing w:line="240" w:lineRule="auto"/>
        <w:ind w:left="1077" w:hanging="258"/>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informing the relevant district Council, for your property, of the new tenancy commencing, if required.</w:t>
      </w:r>
    </w:p>
    <w:p w:rsidR="00000000" w:rsidDel="00000000" w:rsidP="00000000" w:rsidRDefault="00000000" w:rsidRPr="00000000" w14:paraId="0000000D">
      <w:pPr>
        <w:pageBreakBefore w:val="0"/>
        <w:widowControl w:val="0"/>
        <w:spacing w:before="1"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E">
      <w:pPr>
        <w:pageBreakBefore w:val="0"/>
        <w:widowControl w:val="0"/>
        <w:spacing w:line="285" w:lineRule="auto"/>
        <w:ind w:left="100" w:right="404"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incumbent water supplier may contact the Tenant in order to provide further information about its services and products and conclude an agreement with the Tenant for those services and products.</w:t>
      </w:r>
    </w:p>
    <w:p w:rsidR="00000000" w:rsidDel="00000000" w:rsidP="00000000" w:rsidRDefault="00000000" w:rsidRPr="00000000" w14:paraId="0000000F">
      <w:pPr>
        <w:pageBreakBefore w:val="0"/>
        <w:widowControl w:val="0"/>
        <w:spacing w:before="7"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0">
      <w:pPr>
        <w:pageBreakBefore w:val="0"/>
        <w:widowControl w:val="0"/>
        <w:spacing w:line="285" w:lineRule="auto"/>
        <w:ind w:left="100" w:right="479"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relevant district Council may contact the Tenant in order to provide further information about its services and products and conclude an agreement with the Tenant for those services and products.</w:t>
      </w:r>
    </w:p>
    <w:p w:rsidR="00000000" w:rsidDel="00000000" w:rsidP="00000000" w:rsidRDefault="00000000" w:rsidRPr="00000000" w14:paraId="00000011">
      <w:pPr>
        <w:pageBreakBefore w:val="0"/>
        <w:widowControl w:val="0"/>
        <w:spacing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2">
      <w:pPr>
        <w:pageBreakBefore w:val="0"/>
        <w:widowControl w:val="0"/>
        <w:numPr>
          <w:ilvl w:val="1"/>
          <w:numId w:val="3"/>
        </w:numPr>
        <w:tabs>
          <w:tab w:val="left" w:leader="none" w:pos="468"/>
        </w:tabs>
        <w:spacing w:before="1" w:line="285" w:lineRule="auto"/>
        <w:ind w:left="100" w:right="406" w:firstLine="0"/>
        <w:rPr>
          <w:rFonts w:ascii="Roboto" w:cs="Roboto" w:eastAsia="Roboto" w:hAnsi="Roboto"/>
          <w:sz w:val="20"/>
          <w:szCs w:val="20"/>
        </w:rPr>
      </w:pP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will only process data on behalf of One Utility Bill. One Utility Bill will use the Tenant’s details only for the purposes set out above and not in any other way. One Utility Bill and </w:t>
      </w: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will comply with their obligations as a data controller and/or data processor (as applicable) under the General Data Protection Regulation effective, as of the 25th May 2018.</w:t>
        <w:br w:type="textWrapping"/>
      </w:r>
    </w:p>
    <w:p w:rsidR="00000000" w:rsidDel="00000000" w:rsidP="00000000" w:rsidRDefault="00000000" w:rsidRPr="00000000" w14:paraId="00000013">
      <w:pPr>
        <w:pageBreakBefore w:val="0"/>
        <w:widowControl w:val="0"/>
        <w:numPr>
          <w:ilvl w:val="1"/>
          <w:numId w:val="3"/>
        </w:numPr>
        <w:tabs>
          <w:tab w:val="left" w:leader="none" w:pos="468"/>
        </w:tabs>
        <w:spacing w:before="1" w:line="285" w:lineRule="auto"/>
        <w:ind w:left="100" w:right="406"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One Utility Bill will handle Tenant’s data in the manner set out in One Utility Bill’s standard Terms and Conditions and/or</w:t>
      </w:r>
      <w:r w:rsidDel="00000000" w:rsidR="00000000" w:rsidRPr="00000000">
        <w:rPr>
          <w:rFonts w:ascii="Roboto" w:cs="Roboto" w:eastAsia="Roboto" w:hAnsi="Roboto"/>
          <w:color w:val="1054cc"/>
          <w:sz w:val="20"/>
          <w:szCs w:val="20"/>
          <w:rtl w:val="0"/>
        </w:rPr>
        <w:t xml:space="preserve"> </w:t>
      </w:r>
      <w:hyperlink r:id="rId6">
        <w:r w:rsidDel="00000000" w:rsidR="00000000" w:rsidRPr="00000000">
          <w:rPr>
            <w:rFonts w:ascii="Roboto" w:cs="Roboto" w:eastAsia="Roboto" w:hAnsi="Roboto"/>
            <w:color w:val="1155cc"/>
            <w:sz w:val="20"/>
            <w:szCs w:val="20"/>
            <w:u w:val="single"/>
            <w:rtl w:val="0"/>
          </w:rPr>
          <w:t xml:space="preserve">Privacy Notice</w:t>
        </w:r>
      </w:hyperlink>
      <w:r w:rsidDel="00000000" w:rsidR="00000000" w:rsidRPr="00000000">
        <w:rPr>
          <w:rFonts w:ascii="Roboto" w:cs="Roboto" w:eastAsia="Roboto" w:hAnsi="Roboto"/>
          <w:sz w:val="20"/>
          <w:szCs w:val="20"/>
          <w:rtl w:val="0"/>
        </w:rPr>
        <w:t xml:space="preserve">. One Utility Bill will not hold any personal details longer than is necessary and will only use it for the purposes as set out above in a lawful manner. Our </w:t>
      </w:r>
      <w:hyperlink r:id="rId7">
        <w:r w:rsidDel="00000000" w:rsidR="00000000" w:rsidRPr="00000000">
          <w:rPr>
            <w:rFonts w:ascii="Roboto" w:cs="Roboto" w:eastAsia="Roboto" w:hAnsi="Roboto"/>
            <w:color w:val="1155cc"/>
            <w:sz w:val="20"/>
            <w:szCs w:val="20"/>
            <w:u w:val="single"/>
            <w:rtl w:val="0"/>
          </w:rPr>
          <w:t xml:space="preserve">Data Retention Policy</w:t>
        </w:r>
      </w:hyperlink>
      <w:r w:rsidDel="00000000" w:rsidR="00000000" w:rsidRPr="00000000">
        <w:rPr>
          <w:rFonts w:ascii="Roboto" w:cs="Roboto" w:eastAsia="Roboto" w:hAnsi="Roboto"/>
          <w:sz w:val="20"/>
          <w:szCs w:val="20"/>
          <w:rtl w:val="0"/>
        </w:rPr>
        <w:t xml:space="preserve"> is available on the One Utility Bill Website.</w:t>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pageBreakBefore w:val="0"/>
        <w:widowControl w:val="0"/>
        <w:spacing w:after="0" w:before="256" w:line="240" w:lineRule="auto"/>
        <w:ind w:left="0" w:firstLine="0"/>
        <w:rPr>
          <w:rFonts w:ascii="Roboto" w:cs="Roboto" w:eastAsia="Roboto" w:hAnsi="Roboto"/>
          <w:b w:val="1"/>
          <w:bCs w:val="1"/>
          <w:sz w:val="26"/>
          <w:szCs w:val="26"/>
        </w:rPr>
      </w:pPr>
      <w:bookmarkStart w:colFirst="0" w:colLast="0" w:name="_f7idruj8jh9t" w:id="0"/>
      <w:bookmarkEnd w:id="0"/>
      <w:r w:rsidDel="00000000" w:rsidR="00000000" w:rsidRPr="00000000">
        <w:rPr>
          <w:rFonts w:ascii="Roboto" w:cs="Roboto" w:eastAsia="Roboto" w:hAnsi="Roboto"/>
          <w:b w:val="1"/>
          <w:bCs w:val="1"/>
          <w:sz w:val="26"/>
          <w:szCs w:val="26"/>
          <w:rtl w:val="0"/>
        </w:rPr>
        <w:t xml:space="preserve">Clause for Landlord Agreement </w:t>
      </w:r>
    </w:p>
    <w:p w:rsidR="00000000" w:rsidDel="00000000" w:rsidP="00000000" w:rsidRDefault="00000000" w:rsidRPr="00000000" w14:paraId="0000001A">
      <w:pPr>
        <w:pageBreakBefore w:val="0"/>
        <w:widowControl w:val="0"/>
        <w:spacing w:before="5" w:line="240" w:lineRule="auto"/>
        <w:rPr>
          <w:rFonts w:ascii="Roboto" w:cs="Roboto" w:eastAsia="Roboto" w:hAnsi="Roboto"/>
          <w:b w:val="1"/>
          <w:bCs w:val="1"/>
          <w:sz w:val="29"/>
          <w:szCs w:val="29"/>
        </w:rPr>
      </w:pPr>
      <w:r w:rsidDel="00000000" w:rsidR="00000000" w:rsidRPr="00000000">
        <w:rPr>
          <w:rtl w:val="0"/>
        </w:rPr>
      </w:r>
    </w:p>
    <w:p w:rsidR="00000000" w:rsidDel="00000000" w:rsidP="00000000" w:rsidRDefault="00000000" w:rsidRPr="00000000" w14:paraId="0000001B">
      <w:pPr>
        <w:pageBreakBefore w:val="0"/>
        <w:widowControl w:val="0"/>
        <w:numPr>
          <w:ilvl w:val="1"/>
          <w:numId w:val="2"/>
        </w:numPr>
        <w:tabs>
          <w:tab w:val="left" w:leader="none" w:pos="468"/>
        </w:tabs>
        <w:spacing w:line="285" w:lineRule="auto"/>
        <w:ind w:left="100" w:right="102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When the Landlord’s property is let, gas and electricity will be provided by the incumbent Energy Supplier.</w:t>
      </w:r>
    </w:p>
    <w:p w:rsidR="00000000" w:rsidDel="00000000" w:rsidP="00000000" w:rsidRDefault="00000000" w:rsidRPr="00000000" w14:paraId="0000001C">
      <w:pPr>
        <w:pageBreakBefore w:val="0"/>
        <w:widowControl w:val="0"/>
        <w:spacing w:before="1"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D">
      <w:pPr>
        <w:pageBreakBefore w:val="0"/>
        <w:widowControl w:val="0"/>
        <w:numPr>
          <w:ilvl w:val="1"/>
          <w:numId w:val="2"/>
        </w:numPr>
        <w:tabs>
          <w:tab w:val="left" w:leader="none" w:pos="468"/>
        </w:tabs>
        <w:spacing w:line="283" w:lineRule="auto"/>
        <w:ind w:left="100" w:right="538"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One Utility Bill will never contact the Landlord directly and will not hold any personal details  longer than necessary, in line with our</w:t>
      </w:r>
      <w:r w:rsidDel="00000000" w:rsidR="00000000" w:rsidRPr="00000000">
        <w:rPr>
          <w:rFonts w:ascii="Roboto" w:cs="Roboto" w:eastAsia="Roboto" w:hAnsi="Roboto"/>
          <w:color w:val="1054cc"/>
          <w:sz w:val="20"/>
          <w:szCs w:val="20"/>
          <w:rtl w:val="0"/>
        </w:rPr>
        <w:t xml:space="preserve"> </w:t>
      </w:r>
      <w:hyperlink r:id="rId8">
        <w:r w:rsidDel="00000000" w:rsidR="00000000" w:rsidRPr="00000000">
          <w:rPr>
            <w:rFonts w:ascii="Roboto" w:cs="Roboto" w:eastAsia="Roboto" w:hAnsi="Roboto"/>
            <w:color w:val="1155cc"/>
            <w:sz w:val="20"/>
            <w:szCs w:val="20"/>
            <w:u w:val="single"/>
            <w:rtl w:val="0"/>
          </w:rPr>
          <w:t xml:space="preserve">Data Retention Policy</w:t>
        </w:r>
      </w:hyperlink>
      <w:r w:rsidDel="00000000" w:rsidR="00000000" w:rsidRPr="00000000">
        <w:rPr>
          <w:rFonts w:ascii="Roboto" w:cs="Roboto" w:eastAsia="Roboto" w:hAnsi="Roboto"/>
          <w:sz w:val="20"/>
          <w:szCs w:val="20"/>
          <w:rtl w:val="0"/>
        </w:rPr>
        <w:t xml:space="preserve">. Your information will be stored securely and handled in a lawful manner as explained in our Privacy Notice found on our Website or</w:t>
      </w:r>
      <w:r w:rsidDel="00000000" w:rsidR="00000000" w:rsidRPr="00000000">
        <w:rPr>
          <w:rFonts w:ascii="Roboto" w:cs="Roboto" w:eastAsia="Roboto" w:hAnsi="Roboto"/>
          <w:color w:val="1054cc"/>
          <w:sz w:val="20"/>
          <w:szCs w:val="20"/>
          <w:rtl w:val="0"/>
        </w:rPr>
        <w:t xml:space="preserve"> </w:t>
      </w:r>
      <w:hyperlink r:id="rId9">
        <w:r w:rsidDel="00000000" w:rsidR="00000000" w:rsidRPr="00000000">
          <w:rPr>
            <w:rFonts w:ascii="Roboto" w:cs="Roboto" w:eastAsia="Roboto" w:hAnsi="Roboto"/>
            <w:color w:val="1155cc"/>
            <w:sz w:val="20"/>
            <w:szCs w:val="20"/>
            <w:u w:val="single"/>
            <w:rtl w:val="0"/>
          </w:rPr>
          <w:t xml:space="preserve">here</w:t>
        </w:r>
      </w:hyperlink>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1E">
      <w:pPr>
        <w:pageBreakBefore w:val="0"/>
        <w:widowControl w:val="0"/>
        <w:spacing w:before="5"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F">
      <w:pPr>
        <w:pageBreakBefore w:val="0"/>
        <w:widowControl w:val="0"/>
        <w:numPr>
          <w:ilvl w:val="1"/>
          <w:numId w:val="2"/>
        </w:numPr>
        <w:tabs>
          <w:tab w:val="left" w:leader="none" w:pos="468"/>
        </w:tabs>
        <w:spacing w:line="285" w:lineRule="auto"/>
        <w:ind w:left="100" w:right="915"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Landlord agrees that </w:t>
      </w: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may pass personal details and details of the property to One Utility Bill for the purposes of:</w:t>
        <w:br w:type="textWrapping"/>
      </w:r>
      <w:r w:rsidDel="00000000" w:rsidR="00000000" w:rsidRPr="00000000">
        <w:rPr>
          <w:rtl w:val="0"/>
        </w:rPr>
      </w:r>
    </w:p>
    <w:p w:rsidR="00000000" w:rsidDel="00000000" w:rsidP="00000000" w:rsidRDefault="00000000" w:rsidRPr="00000000" w14:paraId="00000020">
      <w:pPr>
        <w:pageBreakBefore w:val="0"/>
        <w:widowControl w:val="0"/>
        <w:numPr>
          <w:ilvl w:val="2"/>
          <w:numId w:val="2"/>
        </w:numPr>
        <w:tabs>
          <w:tab w:val="left" w:leader="none" w:pos="1382"/>
        </w:tabs>
        <w:spacing w:line="285" w:lineRule="auto"/>
        <w:ind w:left="820" w:right="933" w:firstLine="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Registering the property under the name of “the occupier” with the incumbent water supplier.</w:t>
      </w:r>
    </w:p>
    <w:p w:rsidR="00000000" w:rsidDel="00000000" w:rsidP="00000000" w:rsidRDefault="00000000" w:rsidRPr="00000000" w14:paraId="00000021">
      <w:pPr>
        <w:pageBreakBefore w:val="0"/>
        <w:widowControl w:val="0"/>
        <w:spacing w:before="8" w:line="240" w:lineRule="auto"/>
        <w:rPr>
          <w:rFonts w:ascii="Roboto" w:cs="Roboto" w:eastAsia="Roboto" w:hAnsi="Roboto"/>
          <w:sz w:val="23"/>
          <w:szCs w:val="23"/>
        </w:rPr>
      </w:pPr>
      <w:r w:rsidDel="00000000" w:rsidR="00000000" w:rsidRPr="00000000">
        <w:rPr>
          <w:rtl w:val="0"/>
        </w:rPr>
      </w:r>
    </w:p>
    <w:p w:rsidR="00000000" w:rsidDel="00000000" w:rsidP="00000000" w:rsidRDefault="00000000" w:rsidRPr="00000000" w14:paraId="00000022">
      <w:pPr>
        <w:pageBreakBefore w:val="0"/>
        <w:widowControl w:val="0"/>
        <w:numPr>
          <w:ilvl w:val="2"/>
          <w:numId w:val="2"/>
        </w:numPr>
        <w:tabs>
          <w:tab w:val="left" w:leader="none" w:pos="1370"/>
        </w:tabs>
        <w:spacing w:before="1" w:line="285" w:lineRule="auto"/>
        <w:ind w:left="820" w:right="854" w:firstLine="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registering the new Tenancy details for gas, electricity, water and council tax.</w:t>
      </w:r>
    </w:p>
    <w:p w:rsidR="00000000" w:rsidDel="00000000" w:rsidP="00000000" w:rsidRDefault="00000000" w:rsidRPr="00000000" w14:paraId="00000023">
      <w:pPr>
        <w:pageBreakBefore w:val="0"/>
        <w:widowControl w:val="0"/>
        <w:spacing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pageBreakBefore w:val="0"/>
        <w:widowControl w:val="0"/>
        <w:numPr>
          <w:ilvl w:val="2"/>
          <w:numId w:val="2"/>
        </w:numPr>
        <w:tabs>
          <w:tab w:val="left" w:leader="none" w:pos="1382"/>
        </w:tabs>
        <w:spacing w:before="1" w:line="240" w:lineRule="auto"/>
        <w:ind w:left="1381" w:hanging="562"/>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Informing the incumbent suppliers of the liable party for any void periods</w:t>
      </w:r>
    </w:p>
    <w:p w:rsidR="00000000" w:rsidDel="00000000" w:rsidP="00000000" w:rsidRDefault="00000000" w:rsidRPr="00000000" w14:paraId="00000025">
      <w:pPr>
        <w:pageBreakBefore w:val="0"/>
        <w:widowControl w:val="0"/>
        <w:spacing w:before="2" w:line="240" w:lineRule="auto"/>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26">
      <w:pPr>
        <w:pageBreakBefore w:val="0"/>
        <w:widowControl w:val="0"/>
        <w:numPr>
          <w:ilvl w:val="1"/>
          <w:numId w:val="2"/>
        </w:numPr>
        <w:tabs>
          <w:tab w:val="left" w:leader="none" w:pos="467"/>
        </w:tabs>
        <w:spacing w:line="283" w:lineRule="auto"/>
        <w:ind w:left="100" w:right="42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One Utility Bill will use the Landlord’s details only for the purposes set out above and not in any other way. </w:t>
        <w:br w:type="textWrapping"/>
      </w:r>
    </w:p>
    <w:p w:rsidR="00000000" w:rsidDel="00000000" w:rsidP="00000000" w:rsidRDefault="00000000" w:rsidRPr="00000000" w14:paraId="00000027">
      <w:pPr>
        <w:pageBreakBefore w:val="0"/>
        <w:widowControl w:val="0"/>
        <w:numPr>
          <w:ilvl w:val="1"/>
          <w:numId w:val="2"/>
        </w:numPr>
        <w:tabs>
          <w:tab w:val="left" w:leader="none" w:pos="467"/>
        </w:tabs>
        <w:spacing w:line="283" w:lineRule="auto"/>
        <w:ind w:left="100" w:right="42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One Utility Bill and </w:t>
      </w:r>
      <w:r w:rsidDel="00000000" w:rsidR="00000000" w:rsidRPr="00000000">
        <w:rPr>
          <w:rFonts w:ascii="Roboto" w:cs="Roboto" w:eastAsia="Roboto" w:hAnsi="Roboto"/>
          <w:sz w:val="20"/>
          <w:szCs w:val="20"/>
          <w:highlight w:val="yellow"/>
          <w:rtl w:val="0"/>
        </w:rPr>
        <w:t xml:space="preserve">[Letting Agent name]</w:t>
      </w:r>
      <w:r w:rsidDel="00000000" w:rsidR="00000000" w:rsidRPr="00000000">
        <w:rPr>
          <w:rFonts w:ascii="Roboto" w:cs="Roboto" w:eastAsia="Roboto" w:hAnsi="Roboto"/>
          <w:sz w:val="20"/>
          <w:szCs w:val="20"/>
          <w:rtl w:val="0"/>
        </w:rPr>
        <w:t xml:space="preserve">, will comply with their obligations as a data controller and/or data processor (as appropriate) under the General Data Protection Regulation effective, as of the 25th May 2018 and will handle Landlord’s data in the manner set out in our</w:t>
      </w:r>
      <w:r w:rsidDel="00000000" w:rsidR="00000000" w:rsidRPr="00000000">
        <w:rPr>
          <w:rFonts w:ascii="Roboto" w:cs="Roboto" w:eastAsia="Roboto" w:hAnsi="Roboto"/>
          <w:color w:val="1054cc"/>
          <w:sz w:val="20"/>
          <w:szCs w:val="20"/>
          <w:rtl w:val="0"/>
        </w:rPr>
        <w:t xml:space="preserve"> </w:t>
      </w:r>
      <w:hyperlink r:id="rId10">
        <w:r w:rsidDel="00000000" w:rsidR="00000000" w:rsidRPr="00000000">
          <w:rPr>
            <w:rFonts w:ascii="Roboto" w:cs="Roboto" w:eastAsia="Roboto" w:hAnsi="Roboto"/>
            <w:color w:val="1155cc"/>
            <w:sz w:val="20"/>
            <w:szCs w:val="20"/>
            <w:u w:val="single"/>
            <w:rtl w:val="0"/>
          </w:rPr>
          <w:t xml:space="preserve">Privacy Notice.</w:t>
        </w:r>
      </w:hyperlink>
      <w:r w:rsidDel="00000000" w:rsidR="00000000" w:rsidRPr="00000000">
        <w:rPr>
          <w:rFonts w:ascii="Roboto" w:cs="Roboto" w:eastAsia="Roboto" w:hAnsi="Roboto"/>
          <w:color w:val="1054cc"/>
          <w:sz w:val="20"/>
          <w:szCs w:val="20"/>
          <w:u w:val="single"/>
          <w:rtl w:val="0"/>
        </w:rPr>
        <w:br w:type="textWrapping"/>
      </w:r>
    </w:p>
    <w:p w:rsidR="00000000" w:rsidDel="00000000" w:rsidP="00000000" w:rsidRDefault="00000000" w:rsidRPr="00000000" w14:paraId="00000028">
      <w:pPr>
        <w:pageBreakBefore w:val="0"/>
        <w:widowControl w:val="0"/>
        <w:tabs>
          <w:tab w:val="left" w:leader="none" w:pos="467"/>
        </w:tabs>
        <w:spacing w:line="283" w:lineRule="auto"/>
        <w:ind w:right="420"/>
        <w:rPr>
          <w:rFonts w:ascii="Roboto" w:cs="Roboto" w:eastAsia="Roboto" w:hAnsi="Roboto"/>
          <w:color w:val="1054cc"/>
          <w:sz w:val="20"/>
          <w:szCs w:val="20"/>
          <w:u w:val="single"/>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820" w:hanging="247"/>
      </w:pPr>
      <w:rPr>
        <w:rFonts w:ascii="Arial" w:cs="Arial" w:eastAsia="Arial" w:hAnsi="Arial"/>
        <w:b w:val="1"/>
        <w:bCs w:val="1"/>
        <w:i w:val="0"/>
        <w:iCs w:val="0"/>
        <w:sz w:val="22"/>
        <w:szCs w:val="22"/>
      </w:rPr>
    </w:lvl>
    <w:lvl w:ilvl="1">
      <w:start w:val="1"/>
      <w:numFmt w:val="bullet"/>
      <w:lvlText w:val="•"/>
      <w:lvlJc w:val="left"/>
      <w:pPr>
        <w:ind w:left="1722" w:hanging="247"/>
      </w:pPr>
      <w:rPr/>
    </w:lvl>
    <w:lvl w:ilvl="2">
      <w:start w:val="1"/>
      <w:numFmt w:val="bullet"/>
      <w:lvlText w:val="•"/>
      <w:lvlJc w:val="left"/>
      <w:pPr>
        <w:ind w:left="2624" w:hanging="247"/>
      </w:pPr>
      <w:rPr/>
    </w:lvl>
    <w:lvl w:ilvl="3">
      <w:start w:val="1"/>
      <w:numFmt w:val="bullet"/>
      <w:lvlText w:val="•"/>
      <w:lvlJc w:val="left"/>
      <w:pPr>
        <w:ind w:left="3526" w:hanging="246.99999999999955"/>
      </w:pPr>
      <w:rPr/>
    </w:lvl>
    <w:lvl w:ilvl="4">
      <w:start w:val="1"/>
      <w:numFmt w:val="bullet"/>
      <w:lvlText w:val="•"/>
      <w:lvlJc w:val="left"/>
      <w:pPr>
        <w:ind w:left="4428" w:hanging="247"/>
      </w:pPr>
      <w:rPr/>
    </w:lvl>
    <w:lvl w:ilvl="5">
      <w:start w:val="1"/>
      <w:numFmt w:val="bullet"/>
      <w:lvlText w:val="•"/>
      <w:lvlJc w:val="left"/>
      <w:pPr>
        <w:ind w:left="5330" w:hanging="247"/>
      </w:pPr>
      <w:rPr/>
    </w:lvl>
    <w:lvl w:ilvl="6">
      <w:start w:val="1"/>
      <w:numFmt w:val="bullet"/>
      <w:lvlText w:val="•"/>
      <w:lvlJc w:val="left"/>
      <w:pPr>
        <w:ind w:left="6232" w:hanging="247"/>
      </w:pPr>
      <w:rPr/>
    </w:lvl>
    <w:lvl w:ilvl="7">
      <w:start w:val="1"/>
      <w:numFmt w:val="bullet"/>
      <w:lvlText w:val="•"/>
      <w:lvlJc w:val="left"/>
      <w:pPr>
        <w:ind w:left="7134" w:hanging="247.0000000000009"/>
      </w:pPr>
      <w:rPr/>
    </w:lvl>
    <w:lvl w:ilvl="8">
      <w:start w:val="1"/>
      <w:numFmt w:val="bullet"/>
      <w:lvlText w:val="•"/>
      <w:lvlJc w:val="left"/>
      <w:pPr>
        <w:ind w:left="8036" w:hanging="247"/>
      </w:pPr>
      <w:rPr/>
    </w:lvl>
  </w:abstractNum>
  <w:abstractNum w:abstractNumId="2">
    <w:lvl w:ilvl="0">
      <w:start w:val="1"/>
      <w:numFmt w:val="decimal"/>
      <w:lvlText w:val="%1"/>
      <w:lvlJc w:val="left"/>
      <w:pPr>
        <w:ind w:left="100" w:hanging="368"/>
      </w:pPr>
      <w:rPr/>
    </w:lvl>
    <w:lvl w:ilvl="1">
      <w:start w:val="1"/>
      <w:numFmt w:val="decimal"/>
      <w:lvlText w:val="%1.%2"/>
      <w:lvlJc w:val="left"/>
      <w:pPr>
        <w:ind w:left="100" w:hanging="368"/>
      </w:pPr>
      <w:rPr>
        <w:rFonts w:ascii="Arial" w:cs="Arial" w:eastAsia="Arial" w:hAnsi="Arial"/>
        <w:b w:val="1"/>
        <w:bCs w:val="1"/>
        <w:i w:val="0"/>
        <w:iCs w:val="0"/>
        <w:sz w:val="22"/>
        <w:szCs w:val="22"/>
      </w:rPr>
    </w:lvl>
    <w:lvl w:ilvl="2">
      <w:start w:val="1"/>
      <w:numFmt w:val="lowerLetter"/>
      <w:lvlText w:val="%1.%2.%3"/>
      <w:lvlJc w:val="left"/>
      <w:pPr>
        <w:ind w:left="820" w:hanging="550"/>
      </w:pPr>
      <w:rPr>
        <w:rFonts w:ascii="Arial" w:cs="Arial" w:eastAsia="Arial" w:hAnsi="Arial"/>
        <w:b w:val="1"/>
        <w:bCs w:val="1"/>
        <w:i w:val="0"/>
        <w:iCs w:val="0"/>
        <w:sz w:val="22"/>
        <w:szCs w:val="22"/>
      </w:rPr>
    </w:lvl>
    <w:lvl w:ilvl="3">
      <w:start w:val="1"/>
      <w:numFmt w:val="bullet"/>
      <w:lvlText w:val="•"/>
      <w:lvlJc w:val="left"/>
      <w:pPr>
        <w:ind w:left="2824" w:hanging="550"/>
      </w:pPr>
      <w:rPr/>
    </w:lvl>
    <w:lvl w:ilvl="4">
      <w:start w:val="1"/>
      <w:numFmt w:val="bullet"/>
      <w:lvlText w:val="•"/>
      <w:lvlJc w:val="left"/>
      <w:pPr>
        <w:ind w:left="3826" w:hanging="550"/>
      </w:pPr>
      <w:rPr/>
    </w:lvl>
    <w:lvl w:ilvl="5">
      <w:start w:val="1"/>
      <w:numFmt w:val="bullet"/>
      <w:lvlText w:val="•"/>
      <w:lvlJc w:val="left"/>
      <w:pPr>
        <w:ind w:left="4828" w:hanging="550"/>
      </w:pPr>
      <w:rPr/>
    </w:lvl>
    <w:lvl w:ilvl="6">
      <w:start w:val="1"/>
      <w:numFmt w:val="bullet"/>
      <w:lvlText w:val="•"/>
      <w:lvlJc w:val="left"/>
      <w:pPr>
        <w:ind w:left="5831" w:hanging="550"/>
      </w:pPr>
      <w:rPr/>
    </w:lvl>
    <w:lvl w:ilvl="7">
      <w:start w:val="1"/>
      <w:numFmt w:val="bullet"/>
      <w:lvlText w:val="•"/>
      <w:lvlJc w:val="left"/>
      <w:pPr>
        <w:ind w:left="6833" w:hanging="550"/>
      </w:pPr>
      <w:rPr/>
    </w:lvl>
    <w:lvl w:ilvl="8">
      <w:start w:val="1"/>
      <w:numFmt w:val="bullet"/>
      <w:lvlText w:val="•"/>
      <w:lvlJc w:val="left"/>
      <w:pPr>
        <w:ind w:left="7835" w:hanging="550"/>
      </w:pPr>
      <w:rPr/>
    </w:lvl>
  </w:abstractNum>
  <w:abstractNum w:abstractNumId="3">
    <w:lvl w:ilvl="0">
      <w:start w:val="1"/>
      <w:numFmt w:val="decimal"/>
      <w:lvlText w:val="%1."/>
      <w:lvlJc w:val="left"/>
      <w:pPr>
        <w:ind w:left="413" w:hanging="314"/>
      </w:pPr>
      <w:rPr>
        <w:rFonts w:ascii="Arial" w:cs="Arial" w:eastAsia="Arial" w:hAnsi="Arial"/>
        <w:b w:val="1"/>
        <w:bCs w:val="1"/>
        <w:i w:val="0"/>
        <w:iCs w:val="0"/>
        <w:sz w:val="28"/>
        <w:szCs w:val="28"/>
      </w:rPr>
    </w:lvl>
    <w:lvl w:ilvl="1">
      <w:start w:val="1"/>
      <w:numFmt w:val="decimal"/>
      <w:lvlText w:val="%1.%2"/>
      <w:lvlJc w:val="left"/>
      <w:pPr>
        <w:ind w:left="100" w:hanging="367"/>
      </w:pPr>
      <w:rPr>
        <w:rFonts w:ascii="Arial" w:cs="Arial" w:eastAsia="Arial" w:hAnsi="Arial"/>
        <w:b w:val="1"/>
        <w:bCs w:val="1"/>
        <w:i w:val="0"/>
        <w:iCs w:val="0"/>
        <w:sz w:val="22"/>
        <w:szCs w:val="22"/>
      </w:rPr>
    </w:lvl>
    <w:lvl w:ilvl="2">
      <w:start w:val="1"/>
      <w:numFmt w:val="bullet"/>
      <w:lvlText w:val="•"/>
      <w:lvlJc w:val="left"/>
      <w:pPr>
        <w:ind w:left="1466" w:hanging="367"/>
      </w:pPr>
      <w:rPr/>
    </w:lvl>
    <w:lvl w:ilvl="3">
      <w:start w:val="1"/>
      <w:numFmt w:val="bullet"/>
      <w:lvlText w:val="•"/>
      <w:lvlJc w:val="left"/>
      <w:pPr>
        <w:ind w:left="2513" w:hanging="367"/>
      </w:pPr>
      <w:rPr/>
    </w:lvl>
    <w:lvl w:ilvl="4">
      <w:start w:val="1"/>
      <w:numFmt w:val="bullet"/>
      <w:lvlText w:val="•"/>
      <w:lvlJc w:val="left"/>
      <w:pPr>
        <w:ind w:left="3560" w:hanging="367"/>
      </w:pPr>
      <w:rPr/>
    </w:lvl>
    <w:lvl w:ilvl="5">
      <w:start w:val="1"/>
      <w:numFmt w:val="bullet"/>
      <w:lvlText w:val="•"/>
      <w:lvlJc w:val="left"/>
      <w:pPr>
        <w:ind w:left="4606" w:hanging="367"/>
      </w:pPr>
      <w:rPr/>
    </w:lvl>
    <w:lvl w:ilvl="6">
      <w:start w:val="1"/>
      <w:numFmt w:val="bullet"/>
      <w:lvlText w:val="•"/>
      <w:lvlJc w:val="left"/>
      <w:pPr>
        <w:ind w:left="5653" w:hanging="367.0000000000009"/>
      </w:pPr>
      <w:rPr/>
    </w:lvl>
    <w:lvl w:ilvl="7">
      <w:start w:val="1"/>
      <w:numFmt w:val="bullet"/>
      <w:lvlText w:val="•"/>
      <w:lvlJc w:val="left"/>
      <w:pPr>
        <w:ind w:left="6700" w:hanging="367"/>
      </w:pPr>
      <w:rPr/>
    </w:lvl>
    <w:lvl w:ilvl="8">
      <w:start w:val="1"/>
      <w:numFmt w:val="bullet"/>
      <w:lvlText w:val="•"/>
      <w:lvlJc w:val="left"/>
      <w:pPr>
        <w:ind w:left="7746" w:hanging="367"/>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oneutilitybill.co/privacy" TargetMode="External"/><Relationship Id="rId9" Type="http://schemas.openxmlformats.org/officeDocument/2006/relationships/hyperlink" Target="https://oneutilitybill.co/privacy" TargetMode="External"/><Relationship Id="rId5" Type="http://schemas.openxmlformats.org/officeDocument/2006/relationships/styles" Target="styles.xml"/><Relationship Id="rId6" Type="http://schemas.openxmlformats.org/officeDocument/2006/relationships/hyperlink" Target="https://oneutilitybill.co/privacy" TargetMode="External"/><Relationship Id="rId7" Type="http://schemas.openxmlformats.org/officeDocument/2006/relationships/hyperlink" Target="https://oneutilitybill.co/data-retention" TargetMode="External"/><Relationship Id="rId8" Type="http://schemas.openxmlformats.org/officeDocument/2006/relationships/hyperlink" Target="https://oneutilitybill.co/data-reten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